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516C8D73"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-I</w:t>
      </w:r>
      <w:r w:rsidR="00D91C18">
        <w:rPr>
          <w:rFonts w:ascii="Arial" w:hAnsi="Arial" w:cs="Arial"/>
          <w:i/>
        </w:rPr>
        <w:t>V</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1A9C603E"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w:t>
      </w:r>
      <w:r w:rsidR="00902590">
        <w:rPr>
          <w:rFonts w:ascii="Arial" w:hAnsi="Arial" w:cs="Arial"/>
          <w:i/>
          <w:sz w:val="22"/>
          <w:szCs w:val="22"/>
          <w:lang w:eastAsia="pl-PL"/>
        </w:rPr>
        <w:t>….</w:t>
      </w:r>
      <w:r>
        <w:rPr>
          <w:rFonts w:ascii="Arial" w:hAnsi="Arial" w:cs="Arial"/>
          <w:i/>
          <w:sz w:val="22"/>
          <w:szCs w:val="22"/>
          <w:lang w:eastAsia="pl-PL"/>
        </w:rPr>
        <w:t>/UG/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5AF3D83E" w14:textId="267ACBE4" w:rsidR="007C3D2C" w:rsidRDefault="00B03C66" w:rsidP="00AB48E2">
      <w:pPr>
        <w:spacing w:line="276" w:lineRule="auto"/>
        <w:ind w:left="360"/>
        <w:contextualSpacing/>
        <w:jc w:val="center"/>
        <w:rPr>
          <w:rFonts w:ascii="Arial" w:eastAsia="Times New Roman" w:hAnsi="Arial"/>
          <w:b/>
          <w:bCs/>
          <w:i/>
          <w:iCs/>
          <w:sz w:val="22"/>
          <w:szCs w:val="22"/>
        </w:rPr>
      </w:pPr>
      <w:bookmarkStart w:id="0" w:name="_Hlk193358497"/>
      <w:r w:rsidRPr="00B03C66">
        <w:rPr>
          <w:rFonts w:ascii="Arial" w:eastAsia="Times New Roman" w:hAnsi="Arial"/>
          <w:b/>
          <w:bCs/>
          <w:i/>
          <w:iCs/>
          <w:sz w:val="22"/>
          <w:szCs w:val="22"/>
        </w:rPr>
        <w:t xml:space="preserve">„Odbudowa zniszczonych rowów po powodzi w miejscowościach: </w:t>
      </w:r>
      <w:proofErr w:type="spellStart"/>
      <w:r w:rsidRPr="00B03C66">
        <w:rPr>
          <w:rFonts w:ascii="Arial" w:eastAsia="Times New Roman" w:hAnsi="Arial"/>
          <w:b/>
          <w:bCs/>
          <w:i/>
          <w:iCs/>
          <w:sz w:val="22"/>
          <w:szCs w:val="22"/>
        </w:rPr>
        <w:t>Owsiszcze</w:t>
      </w:r>
      <w:proofErr w:type="spellEnd"/>
      <w:r w:rsidRPr="00B03C66">
        <w:rPr>
          <w:rFonts w:ascii="Arial" w:eastAsia="Times New Roman" w:hAnsi="Arial"/>
          <w:b/>
          <w:bCs/>
          <w:i/>
          <w:iCs/>
          <w:sz w:val="22"/>
          <w:szCs w:val="22"/>
        </w:rPr>
        <w:t>, Krzyżanowice, Tworków i Rudyszwałd”</w:t>
      </w:r>
    </w:p>
    <w:p w14:paraId="45D10EAF" w14:textId="77777777" w:rsidR="00B03C66" w:rsidRDefault="00B03C66" w:rsidP="00AB48E2">
      <w:pPr>
        <w:spacing w:line="276" w:lineRule="auto"/>
        <w:ind w:left="360"/>
        <w:contextualSpacing/>
        <w:jc w:val="center"/>
        <w:rPr>
          <w:rFonts w:ascii="Arial" w:hAnsi="Arial"/>
          <w:b/>
          <w:sz w:val="22"/>
          <w:szCs w:val="22"/>
        </w:rPr>
      </w:pPr>
    </w:p>
    <w:p w14:paraId="52F5994D" w14:textId="5DD8AE7C" w:rsidR="007C3D2C"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w:t>
      </w:r>
      <w:r w:rsidR="00AF047E">
        <w:rPr>
          <w:rFonts w:ascii="Arial" w:eastAsia="Times New Roman" w:hAnsi="Arial"/>
          <w:b/>
          <w:i/>
          <w:iCs/>
          <w:sz w:val="22"/>
          <w:szCs w:val="22"/>
          <w:u w:val="single"/>
        </w:rPr>
        <w:t>I</w:t>
      </w:r>
      <w:r w:rsidR="00D91C18">
        <w:rPr>
          <w:rFonts w:ascii="Arial" w:eastAsia="Times New Roman" w:hAnsi="Arial"/>
          <w:b/>
          <w:i/>
          <w:iCs/>
          <w:sz w:val="22"/>
          <w:szCs w:val="22"/>
          <w:u w:val="single"/>
        </w:rPr>
        <w:t>V</w:t>
      </w:r>
      <w:r w:rsidRPr="009963C2">
        <w:rPr>
          <w:rFonts w:ascii="Arial" w:eastAsia="Times New Roman" w:hAnsi="Arial"/>
          <w:b/>
          <w:i/>
          <w:iCs/>
          <w:sz w:val="22"/>
          <w:szCs w:val="22"/>
          <w:u w:val="single"/>
        </w:rPr>
        <w:t xml:space="preserve"> – </w:t>
      </w:r>
      <w:bookmarkEnd w:id="0"/>
      <w:r w:rsidR="00D91C18" w:rsidRPr="00D91C18">
        <w:rPr>
          <w:rFonts w:ascii="Arial" w:eastAsia="Times New Roman" w:hAnsi="Arial"/>
          <w:b/>
          <w:i/>
          <w:iCs/>
          <w:sz w:val="22"/>
          <w:szCs w:val="22"/>
          <w:u w:val="single"/>
        </w:rPr>
        <w:t>„Odbudowa rowu nr H-6 w Rudyszwałdzie”</w:t>
      </w:r>
    </w:p>
    <w:p w14:paraId="22CAAF87" w14:textId="77777777" w:rsidR="00E71A6B" w:rsidRPr="00353C6A" w:rsidRDefault="00E71A6B"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2650D52F"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Przedmiotem I</w:t>
      </w:r>
      <w:r w:rsidR="00D91C18">
        <w:rPr>
          <w:rFonts w:ascii="Arial" w:hAnsi="Arial" w:cs="Arial"/>
        </w:rPr>
        <w:t>V</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D91C18" w:rsidRPr="00D91C18">
        <w:rPr>
          <w:rFonts w:ascii="Arial" w:hAnsi="Arial" w:cs="Arial"/>
          <w:i/>
          <w:iCs/>
        </w:rPr>
        <w:t xml:space="preserve">„Odbudowa rowu nr H-6 w Rudyszwałdzie” </w:t>
      </w:r>
      <w:r w:rsidRPr="005413A5">
        <w:rPr>
          <w:rFonts w:ascii="Arial" w:hAnsi="Arial" w:cs="Arial"/>
        </w:rPr>
        <w:t>w tym wykonanie wszystkich prac opisanych w dokumentacji: dokumentach opisujących przedmiot zamówienia, specyfikacji technicznej wykonania i odbioru robót oraz w przedmiarze robót, jakie z</w:t>
      </w:r>
      <w:r w:rsidR="00B03C66">
        <w:rPr>
          <w:rFonts w:ascii="Arial" w:hAnsi="Arial" w:cs="Arial"/>
        </w:rPr>
        <w:t> </w:t>
      </w:r>
      <w:r w:rsidRPr="005413A5">
        <w:rPr>
          <w:rFonts w:ascii="Arial" w:hAnsi="Arial" w:cs="Arial"/>
        </w:rPr>
        <w:t>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5413A5" w:rsidRDefault="005413A5" w:rsidP="005413A5">
      <w:pPr>
        <w:pStyle w:val="Akapitzlist"/>
        <w:numPr>
          <w:ilvl w:val="0"/>
          <w:numId w:val="44"/>
        </w:numPr>
        <w:spacing w:line="276" w:lineRule="auto"/>
        <w:jc w:val="both"/>
        <w:rPr>
          <w:rFonts w:ascii="Arial" w:hAnsi="Arial" w:cs="Arial"/>
        </w:rPr>
      </w:pPr>
      <w:r w:rsidRPr="005413A5">
        <w:rPr>
          <w:rFonts w:ascii="Arial" w:hAnsi="Arial" w:cs="Arial"/>
        </w:rPr>
        <w:t>Zakres zadania obejmuje m.in.:</w:t>
      </w:r>
    </w:p>
    <w:p w14:paraId="55750A57" w14:textId="77777777" w:rsidR="00D91C18" w:rsidRPr="00CB7077" w:rsidRDefault="00D91C18" w:rsidP="00CB7077">
      <w:pPr>
        <w:pStyle w:val="Standard"/>
        <w:numPr>
          <w:ilvl w:val="0"/>
          <w:numId w:val="53"/>
        </w:numPr>
        <w:suppressAutoHyphens/>
        <w:autoSpaceDE/>
        <w:adjustRightInd/>
        <w:spacing w:line="276" w:lineRule="auto"/>
        <w:jc w:val="both"/>
        <w:textAlignment w:val="baseline"/>
        <w:rPr>
          <w:rFonts w:ascii="Arial" w:hAnsi="Arial" w:cs="Arial"/>
          <w:sz w:val="22"/>
          <w:szCs w:val="22"/>
        </w:rPr>
      </w:pPr>
      <w:bookmarkStart w:id="2" w:name="_Hlk129692407"/>
      <w:r w:rsidRPr="00CB7077">
        <w:rPr>
          <w:rFonts w:ascii="Arial" w:hAnsi="Arial" w:cs="Arial"/>
          <w:sz w:val="22"/>
          <w:szCs w:val="22"/>
        </w:rPr>
        <w:t xml:space="preserve">wykoszenie ręczne porostów gęstych twardych ze skarp, </w:t>
      </w:r>
    </w:p>
    <w:p w14:paraId="061A8693" w14:textId="77777777" w:rsidR="00D91C18" w:rsidRPr="00CB7077" w:rsidRDefault="00D91C18" w:rsidP="00CB7077">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CB7077">
        <w:rPr>
          <w:rFonts w:ascii="Arial" w:hAnsi="Arial" w:cs="Arial"/>
          <w:sz w:val="22"/>
          <w:szCs w:val="22"/>
        </w:rPr>
        <w:t>oczyszczenie rowu z namułu o grubości 20 cm z wyprofilowaniem skarp rowu,</w:t>
      </w:r>
    </w:p>
    <w:p w14:paraId="42A96488" w14:textId="77777777" w:rsidR="00D91C18" w:rsidRPr="00CB7077" w:rsidRDefault="00D91C18" w:rsidP="00CB7077">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CB7077">
        <w:rPr>
          <w:rFonts w:ascii="Arial" w:hAnsi="Arial" w:cs="Arial"/>
          <w:sz w:val="22"/>
          <w:szCs w:val="22"/>
        </w:rPr>
        <w:t>umocnienie dna i boków rowu; ciek z płyt betonowych 50x50x7 cm na podsypce cementowo-piaskowej, wbijanie kołków i słupów oporowych</w:t>
      </w:r>
    </w:p>
    <w:p w14:paraId="778298E8" w14:textId="77777777" w:rsidR="00D91C18" w:rsidRPr="00CB7077" w:rsidRDefault="00D91C18" w:rsidP="00CB7077">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CB7077">
        <w:rPr>
          <w:rFonts w:ascii="Arial" w:hAnsi="Arial" w:cs="Arial"/>
          <w:sz w:val="22"/>
          <w:szCs w:val="22"/>
        </w:rPr>
        <w:t>rozbieranie mostka z wyprofilowaniem skarp,</w:t>
      </w:r>
    </w:p>
    <w:p w14:paraId="683104E0" w14:textId="77777777" w:rsidR="00D91C18" w:rsidRPr="00CB7077" w:rsidRDefault="00D91C18" w:rsidP="00CB7077">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CB7077">
        <w:rPr>
          <w:rFonts w:ascii="Arial" w:hAnsi="Arial" w:cs="Arial"/>
          <w:sz w:val="22"/>
          <w:szCs w:val="22"/>
        </w:rPr>
        <w:t>umocnienie skarp wlotów/wylotów przy dziewięciu mostkach, obłożenie skarp z kostki kamiennej.</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3" w:name="_Hlk71093198"/>
      <w:r w:rsidRPr="005413A5">
        <w:rPr>
          <w:rFonts w:ascii="Arial" w:hAnsi="Arial" w:cs="Arial"/>
          <w:kern w:val="1"/>
        </w:rPr>
        <w:lastRenderedPageBreak/>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3"/>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4BE0CEE4" w14:textId="3FCDF35C" w:rsidR="00B03C66" w:rsidRPr="00B03C66" w:rsidRDefault="00B03C66" w:rsidP="00B03C66">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5413A5" w:rsidRDefault="005413A5" w:rsidP="005413A5">
      <w:pPr>
        <w:pStyle w:val="Akapitzlist"/>
        <w:spacing w:line="276" w:lineRule="auto"/>
        <w:ind w:left="360"/>
        <w:jc w:val="both"/>
        <w:rPr>
          <w:rFonts w:ascii="Arial" w:eastAsia="Times New Roman" w:hAnsi="Arial" w:cs="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77FEE214"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BB3B28">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BB3B28">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lastRenderedPageBreak/>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w:t>
      </w:r>
      <w:r w:rsidRPr="00096E05">
        <w:rPr>
          <w:rFonts w:ascii="Arial" w:hAnsi="Arial" w:cs="Arial"/>
          <w:b w:val="0"/>
          <w:sz w:val="22"/>
          <w:szCs w:val="22"/>
        </w:rPr>
        <w:lastRenderedPageBreak/>
        <w:t xml:space="preserve">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2ABCBDE8"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B03C66">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w:t>
      </w:r>
      <w:r w:rsidR="00B03C66">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BEB5E86"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 xml:space="preserve">1 pkt </w:t>
      </w:r>
      <w:r w:rsidR="00B03C66">
        <w:rPr>
          <w:rFonts w:ascii="Arial" w:hAnsi="Arial"/>
        </w:rPr>
        <w:t>10</w:t>
      </w:r>
      <w:r w:rsidR="00B15091" w:rsidRPr="00285890">
        <w:rPr>
          <w:rFonts w:ascii="Arial" w:hAnsi="Arial"/>
        </w:rPr>
        <w:t>.</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1540AB24" w:rsidR="002F308A" w:rsidRPr="00C14584" w:rsidRDefault="000A4CB6" w:rsidP="00C14584">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E71A6B">
        <w:rPr>
          <w:rFonts w:ascii="Arial" w:eastAsia="Times New Roman" w:hAnsi="Arial"/>
          <w:b/>
          <w:sz w:val="22"/>
          <w:szCs w:val="22"/>
          <w:lang w:eastAsia="ar-SA"/>
        </w:rPr>
        <w:t>3</w:t>
      </w:r>
      <w:r w:rsidR="00CB7077">
        <w:rPr>
          <w:rFonts w:ascii="Arial" w:eastAsia="Times New Roman" w:hAnsi="Arial"/>
          <w:b/>
          <w:sz w:val="22"/>
          <w:szCs w:val="22"/>
          <w:lang w:eastAsia="ar-SA"/>
        </w:rPr>
        <w:t>5</w:t>
      </w:r>
      <w:r w:rsidR="00E71A6B">
        <w:rPr>
          <w:rFonts w:ascii="Arial" w:eastAsia="Times New Roman" w:hAnsi="Arial"/>
          <w:b/>
          <w:sz w:val="22"/>
          <w:szCs w:val="22"/>
          <w:lang w:eastAsia="ar-SA"/>
        </w:rPr>
        <w:t>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6"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6"/>
      <w:r w:rsidR="00E33885" w:rsidRPr="00C14584">
        <w:rPr>
          <w:rFonts w:ascii="Arial" w:hAnsi="Arial"/>
          <w:sz w:val="22"/>
          <w:szCs w:val="22"/>
        </w:rPr>
        <w:t xml:space="preserve"> </w:t>
      </w:r>
      <w:bookmarkEnd w:id="5"/>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7"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8"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8"/>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9" w:name="_Hlk13039532"/>
      <w:bookmarkEnd w:id="7"/>
      <w:r w:rsidRPr="00C14584">
        <w:rPr>
          <w:rFonts w:ascii="Arial" w:hAnsi="Arial"/>
          <w:bCs/>
          <w:sz w:val="22"/>
          <w:szCs w:val="22"/>
        </w:rPr>
        <w:t xml:space="preserve">W przypadku stwierdzenia wykonania zakresu robót w sposób niezgodny </w:t>
      </w:r>
      <w:bookmarkStart w:id="10"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0"/>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7BC46C40"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B03C66">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lastRenderedPageBreak/>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387D7CC1" w:rsidR="000A4CB6"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7A61641" w14:textId="787DC7C4" w:rsidR="00EB20BF" w:rsidRPr="00EB20BF" w:rsidRDefault="00EB20BF" w:rsidP="00EB20BF">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Pr>
          <w:rFonts w:ascii="Arial" w:hAnsi="Arial"/>
          <w:sz w:val="22"/>
          <w:szCs w:val="22"/>
        </w:rPr>
        <w:t xml:space="preserve">umowy </w:t>
      </w:r>
      <w:r w:rsidRPr="00A758DB">
        <w:rPr>
          <w:rFonts w:ascii="Arial" w:hAnsi="Arial"/>
          <w:sz w:val="22"/>
          <w:szCs w:val="22"/>
        </w:rPr>
        <w:t>w termin</w:t>
      </w:r>
      <w:r>
        <w:rPr>
          <w:rFonts w:ascii="Arial" w:hAnsi="Arial"/>
          <w:sz w:val="22"/>
          <w:szCs w:val="22"/>
        </w:rPr>
        <w:t>ach</w:t>
      </w:r>
      <w:r w:rsidR="00CC2EC3">
        <w:rPr>
          <w:rFonts w:ascii="Arial" w:hAnsi="Arial"/>
          <w:sz w:val="22"/>
          <w:szCs w:val="22"/>
        </w:rPr>
        <w:t xml:space="preserve"> określnych</w:t>
      </w:r>
      <w:r w:rsidRPr="00A758DB">
        <w:rPr>
          <w:rFonts w:ascii="Arial" w:hAnsi="Arial"/>
          <w:sz w:val="22"/>
          <w:szCs w:val="22"/>
        </w:rPr>
        <w:t xml:space="preserve">  w</w:t>
      </w:r>
      <w:r w:rsidR="00F42AF9">
        <w:rPr>
          <w:rFonts w:ascii="Arial" w:hAnsi="Arial"/>
          <w:sz w:val="22"/>
          <w:szCs w:val="22"/>
        </w:rPr>
        <w:t> </w:t>
      </w:r>
      <w:r>
        <w:rPr>
          <w:rFonts w:ascii="Arial" w:hAnsi="Arial"/>
          <w:sz w:val="22"/>
          <w:szCs w:val="22"/>
        </w:rPr>
        <w:t>harmonogramie rzeczowo- finansowym</w:t>
      </w:r>
      <w:r w:rsidR="00CC2EC3">
        <w:rPr>
          <w:rFonts w:ascii="Arial" w:hAnsi="Arial"/>
          <w:sz w:val="22"/>
          <w:szCs w:val="22"/>
        </w:rPr>
        <w:t xml:space="preserve">, o którym mowa </w:t>
      </w:r>
      <w:r w:rsidR="00F42AF9">
        <w:rPr>
          <w:rFonts w:ascii="Arial" w:hAnsi="Arial"/>
          <w:sz w:val="22"/>
          <w:szCs w:val="22"/>
        </w:rPr>
        <w:t>w</w:t>
      </w:r>
      <w:r w:rsidRPr="00A758DB">
        <w:rPr>
          <w:rFonts w:ascii="Arial" w:hAnsi="Arial"/>
          <w:sz w:val="22"/>
          <w:szCs w:val="22"/>
        </w:rPr>
        <w:t xml:space="preserve"> § 2</w:t>
      </w:r>
      <w:r>
        <w:rPr>
          <w:rFonts w:ascii="Arial" w:hAnsi="Arial"/>
          <w:sz w:val="22"/>
          <w:szCs w:val="22"/>
        </w:rPr>
        <w:t xml:space="preserve"> ust. 3 </w:t>
      </w:r>
      <w:r w:rsidRPr="00A758DB">
        <w:rPr>
          <w:rFonts w:ascii="Arial" w:hAnsi="Arial"/>
          <w:sz w:val="22"/>
          <w:szCs w:val="22"/>
        </w:rPr>
        <w:t xml:space="preserve">w wysokości 0,1 % wynagrodzenia umownego brutto wskazanego w § 11 ust. 1 umowy, za każdy dzień </w:t>
      </w:r>
      <w:r>
        <w:rPr>
          <w:rFonts w:ascii="Arial" w:hAnsi="Arial"/>
          <w:sz w:val="22"/>
          <w:szCs w:val="22"/>
        </w:rPr>
        <w:t>zwłoki</w:t>
      </w:r>
      <w:r w:rsidRPr="00A758DB">
        <w:rPr>
          <w:rFonts w:ascii="Arial" w:hAnsi="Arial"/>
          <w:sz w:val="22"/>
          <w:szCs w:val="22"/>
        </w:rPr>
        <w:t xml:space="preserve">, licząc od następnego dnia po upływie terminu </w:t>
      </w:r>
      <w:r w:rsidR="00F42AF9">
        <w:rPr>
          <w:rFonts w:ascii="Arial" w:hAnsi="Arial"/>
          <w:sz w:val="22"/>
          <w:szCs w:val="22"/>
        </w:rPr>
        <w:t>określonego w harmonogramie</w:t>
      </w:r>
      <w:r w:rsidRPr="00A758DB">
        <w:rPr>
          <w:rFonts w:ascii="Arial" w:hAnsi="Arial"/>
          <w:sz w:val="22"/>
          <w:szCs w:val="22"/>
        </w:rPr>
        <w:t>;</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lastRenderedPageBreak/>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37AC6E3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EB20BF">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70E06760"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B03C66">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lastRenderedPageBreak/>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lastRenderedPageBreak/>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11E2B89E"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B03C66">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 xml:space="preserve">przetwarzaniem danych osobowych i w sprawie swobodnego przepływu takich danych (ogólne </w:t>
      </w:r>
      <w:r w:rsidRPr="00163E27">
        <w:rPr>
          <w:rFonts w:ascii="Arial" w:hAnsi="Arial" w:cs="Arial"/>
        </w:rPr>
        <w:lastRenderedPageBreak/>
        <w:t>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1" w:name="_Hlk31793077"/>
      <w:bookmarkEnd w:id="11"/>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78803813"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902590" w:rsidRPr="00902590">
        <w:rPr>
          <w:rFonts w:ascii="Arial" w:eastAsia="Times New Roman" w:hAnsi="Arial"/>
          <w:b/>
          <w:bCs/>
          <w:i/>
          <w:iCs/>
          <w:sz w:val="22"/>
          <w:szCs w:val="22"/>
        </w:rPr>
        <w:t xml:space="preserve">„Odbudowa zniszczonych rowów po powodzi w miejscowościach: </w:t>
      </w:r>
      <w:proofErr w:type="spellStart"/>
      <w:r w:rsidR="00902590" w:rsidRPr="00902590">
        <w:rPr>
          <w:rFonts w:ascii="Arial" w:eastAsia="Times New Roman" w:hAnsi="Arial"/>
          <w:b/>
          <w:bCs/>
          <w:i/>
          <w:iCs/>
          <w:sz w:val="22"/>
          <w:szCs w:val="22"/>
        </w:rPr>
        <w:t>Owsiszcze</w:t>
      </w:r>
      <w:proofErr w:type="spellEnd"/>
      <w:r w:rsidR="00902590" w:rsidRPr="00902590">
        <w:rPr>
          <w:rFonts w:ascii="Arial" w:eastAsia="Times New Roman" w:hAnsi="Arial"/>
          <w:b/>
          <w:bCs/>
          <w:i/>
          <w:iCs/>
          <w:sz w:val="22"/>
          <w:szCs w:val="22"/>
        </w:rPr>
        <w:t xml:space="preserve">, Krzyżanowice, Tworków i Rudyszwałd”. </w:t>
      </w:r>
      <w:r w:rsidR="00CB5076" w:rsidRPr="00CB5076">
        <w:rPr>
          <w:rFonts w:ascii="Arial" w:eastAsia="Times New Roman" w:hAnsi="Arial"/>
          <w:b/>
          <w:bCs/>
          <w:i/>
          <w:iCs/>
          <w:sz w:val="22"/>
          <w:szCs w:val="22"/>
        </w:rPr>
        <w:t>Część I</w:t>
      </w:r>
      <w:r w:rsidR="00CB7077">
        <w:rPr>
          <w:rFonts w:ascii="Arial" w:eastAsia="Times New Roman" w:hAnsi="Arial"/>
          <w:b/>
          <w:bCs/>
          <w:i/>
          <w:iCs/>
          <w:sz w:val="22"/>
          <w:szCs w:val="22"/>
        </w:rPr>
        <w:t>V</w:t>
      </w:r>
      <w:r w:rsidR="00CB5076" w:rsidRPr="00CB5076">
        <w:rPr>
          <w:rFonts w:ascii="Arial" w:eastAsia="Times New Roman" w:hAnsi="Arial"/>
          <w:b/>
          <w:bCs/>
          <w:i/>
          <w:iCs/>
          <w:sz w:val="22"/>
          <w:szCs w:val="22"/>
        </w:rPr>
        <w:t xml:space="preserve"> – </w:t>
      </w:r>
      <w:r w:rsidR="00CB7077" w:rsidRPr="00CB7077">
        <w:rPr>
          <w:rFonts w:ascii="Arial" w:eastAsia="Times New Roman" w:hAnsi="Arial"/>
          <w:b/>
          <w:bCs/>
          <w:i/>
          <w:iCs/>
          <w:sz w:val="22"/>
          <w:szCs w:val="22"/>
        </w:rPr>
        <w:t>„Odbudowa rowu nr H-6 w Rudyszwałdzie”</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070AFB6D"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902590" w:rsidRPr="00902590">
        <w:rPr>
          <w:rFonts w:ascii="Arial" w:eastAsia="Times New Roman" w:hAnsi="Arial"/>
          <w:i/>
          <w:iCs/>
          <w:sz w:val="22"/>
          <w:szCs w:val="22"/>
        </w:rPr>
        <w:t xml:space="preserve">„Odbudowa zniszczonych rowów po powodzi w miejscowościach: </w:t>
      </w:r>
      <w:proofErr w:type="spellStart"/>
      <w:r w:rsidR="00902590" w:rsidRPr="00902590">
        <w:rPr>
          <w:rFonts w:ascii="Arial" w:eastAsia="Times New Roman" w:hAnsi="Arial"/>
          <w:i/>
          <w:iCs/>
          <w:sz w:val="22"/>
          <w:szCs w:val="22"/>
        </w:rPr>
        <w:t>Owsiszcze</w:t>
      </w:r>
      <w:proofErr w:type="spellEnd"/>
      <w:r w:rsidR="00902590" w:rsidRPr="00902590">
        <w:rPr>
          <w:rFonts w:ascii="Arial" w:eastAsia="Times New Roman" w:hAnsi="Arial"/>
          <w:i/>
          <w:iCs/>
          <w:sz w:val="22"/>
          <w:szCs w:val="22"/>
        </w:rPr>
        <w:t xml:space="preserve">, Krzyżanowice, Tworków i Rudyszwałd”. </w:t>
      </w:r>
      <w:r w:rsidR="00CB5076" w:rsidRPr="00CB5076">
        <w:rPr>
          <w:rFonts w:ascii="Arial" w:eastAsia="Times New Roman" w:hAnsi="Arial"/>
          <w:i/>
          <w:iCs/>
          <w:sz w:val="22"/>
          <w:szCs w:val="22"/>
        </w:rPr>
        <w:t>Część I</w:t>
      </w:r>
      <w:r w:rsidR="00CB7077">
        <w:rPr>
          <w:rFonts w:ascii="Arial" w:eastAsia="Times New Roman" w:hAnsi="Arial"/>
          <w:i/>
          <w:iCs/>
          <w:sz w:val="22"/>
          <w:szCs w:val="22"/>
        </w:rPr>
        <w:t>V</w:t>
      </w:r>
      <w:r w:rsidR="00CB5076" w:rsidRPr="00CB5076">
        <w:rPr>
          <w:rFonts w:ascii="Arial" w:eastAsia="Times New Roman" w:hAnsi="Arial"/>
          <w:i/>
          <w:iCs/>
          <w:sz w:val="22"/>
          <w:szCs w:val="22"/>
        </w:rPr>
        <w:t xml:space="preserve"> – </w:t>
      </w:r>
      <w:r w:rsidR="00CB7077" w:rsidRPr="00CB7077">
        <w:rPr>
          <w:rFonts w:ascii="Arial" w:eastAsia="Times New Roman" w:hAnsi="Arial"/>
          <w:i/>
          <w:iCs/>
          <w:sz w:val="22"/>
          <w:szCs w:val="22"/>
        </w:rPr>
        <w:t>„Odbudowa rowu nr H-6 w Rudyszwałdzie”</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5B58EFF1"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902590" w:rsidRPr="00902590">
        <w:rPr>
          <w:rFonts w:ascii="Arial" w:hAnsi="Arial"/>
          <w:b/>
          <w:bCs/>
          <w:sz w:val="22"/>
          <w:szCs w:val="22"/>
        </w:rPr>
        <w:t xml:space="preserve">„Odbudowa zniszczonych rowów po powodzi w miejscowościach: </w:t>
      </w:r>
      <w:proofErr w:type="spellStart"/>
      <w:r w:rsidR="00902590" w:rsidRPr="00902590">
        <w:rPr>
          <w:rFonts w:ascii="Arial" w:hAnsi="Arial"/>
          <w:b/>
          <w:bCs/>
          <w:sz w:val="22"/>
          <w:szCs w:val="22"/>
        </w:rPr>
        <w:t>Owsiszcze</w:t>
      </w:r>
      <w:proofErr w:type="spellEnd"/>
      <w:r w:rsidR="00902590" w:rsidRPr="00902590">
        <w:rPr>
          <w:rFonts w:ascii="Arial" w:hAnsi="Arial"/>
          <w:b/>
          <w:bCs/>
          <w:sz w:val="22"/>
          <w:szCs w:val="22"/>
        </w:rPr>
        <w:t xml:space="preserve">, Krzyżanowice, Tworków i Rudyszwałd”. </w:t>
      </w:r>
      <w:r w:rsidR="00CB5076" w:rsidRPr="00CB5076">
        <w:rPr>
          <w:rFonts w:ascii="Arial" w:hAnsi="Arial"/>
          <w:b/>
          <w:bCs/>
          <w:sz w:val="22"/>
          <w:szCs w:val="22"/>
        </w:rPr>
        <w:t>Część I</w:t>
      </w:r>
      <w:r w:rsidR="00CB7077">
        <w:rPr>
          <w:rFonts w:ascii="Arial" w:hAnsi="Arial"/>
          <w:b/>
          <w:bCs/>
          <w:sz w:val="22"/>
          <w:szCs w:val="22"/>
        </w:rPr>
        <w:t>V</w:t>
      </w:r>
      <w:r w:rsidR="00CB5076" w:rsidRPr="00CB5076">
        <w:rPr>
          <w:rFonts w:ascii="Arial" w:hAnsi="Arial"/>
          <w:b/>
          <w:bCs/>
          <w:sz w:val="22"/>
          <w:szCs w:val="22"/>
        </w:rPr>
        <w:t xml:space="preserve"> – </w:t>
      </w:r>
      <w:r w:rsidR="00CB7077" w:rsidRPr="00CB7077">
        <w:rPr>
          <w:rFonts w:ascii="Arial" w:hAnsi="Arial"/>
          <w:b/>
          <w:bCs/>
          <w:sz w:val="22"/>
          <w:szCs w:val="22"/>
        </w:rPr>
        <w:t>„Odbudowa rowu nr H-6 w Rudyszwałdzie”</w:t>
      </w:r>
      <w:r w:rsidR="00CB7077">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7DDB2836" w14:textId="77777777" w:rsidR="00902590" w:rsidRDefault="00902590">
      <w:pPr>
        <w:spacing w:after="160" w:line="259" w:lineRule="auto"/>
        <w:rPr>
          <w:rFonts w:ascii="Arial" w:hAnsi="Arial"/>
          <w:bCs/>
          <w:iCs/>
          <w:sz w:val="22"/>
          <w:szCs w:val="22"/>
        </w:rPr>
      </w:pPr>
      <w:r>
        <w:rPr>
          <w:rFonts w:ascii="Arial" w:hAnsi="Arial"/>
          <w:bCs/>
          <w:iCs/>
          <w:sz w:val="22"/>
          <w:szCs w:val="22"/>
        </w:rPr>
        <w:br w:type="page"/>
      </w:r>
    </w:p>
    <w:p w14:paraId="618D7118" w14:textId="1D771E89"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5BA29388"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86259"/>
    <w:multiLevelType w:val="hybridMultilevel"/>
    <w:tmpl w:val="5B82DDCE"/>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5D027FB"/>
    <w:multiLevelType w:val="hybridMultilevel"/>
    <w:tmpl w:val="E9D42DAC"/>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1"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2"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4"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9"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4"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7"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9"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CF0691"/>
    <w:multiLevelType w:val="hybridMultilevel"/>
    <w:tmpl w:val="57584BF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4"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30"/>
  </w:num>
  <w:num w:numId="2" w16cid:durableId="369653380">
    <w:abstractNumId w:val="47"/>
  </w:num>
  <w:num w:numId="3" w16cid:durableId="1787433164">
    <w:abstractNumId w:val="14"/>
  </w:num>
  <w:num w:numId="4" w16cid:durableId="1081560788">
    <w:abstractNumId w:val="50"/>
  </w:num>
  <w:num w:numId="5" w16cid:durableId="1264533305">
    <w:abstractNumId w:val="41"/>
  </w:num>
  <w:num w:numId="6" w16cid:durableId="626738536">
    <w:abstractNumId w:val="56"/>
  </w:num>
  <w:num w:numId="7" w16cid:durableId="1204748611">
    <w:abstractNumId w:val="12"/>
  </w:num>
  <w:num w:numId="8" w16cid:durableId="302127564">
    <w:abstractNumId w:val="13"/>
  </w:num>
  <w:num w:numId="9" w16cid:durableId="1880628469">
    <w:abstractNumId w:val="24"/>
  </w:num>
  <w:num w:numId="10" w16cid:durableId="1540434373">
    <w:abstractNumId w:val="15"/>
  </w:num>
  <w:num w:numId="11" w16cid:durableId="1952856767">
    <w:abstractNumId w:val="6"/>
  </w:num>
  <w:num w:numId="12" w16cid:durableId="1027292767">
    <w:abstractNumId w:val="34"/>
  </w:num>
  <w:num w:numId="13" w16cid:durableId="950286466">
    <w:abstractNumId w:val="39"/>
  </w:num>
  <w:num w:numId="14" w16cid:durableId="389578348">
    <w:abstractNumId w:val="23"/>
  </w:num>
  <w:num w:numId="15" w16cid:durableId="1717119638">
    <w:abstractNumId w:val="2"/>
  </w:num>
  <w:num w:numId="16" w16cid:durableId="1573538426">
    <w:abstractNumId w:val="11"/>
  </w:num>
  <w:num w:numId="17" w16cid:durableId="1456437743">
    <w:abstractNumId w:val="28"/>
  </w:num>
  <w:num w:numId="18" w16cid:durableId="1084376388">
    <w:abstractNumId w:val="31"/>
  </w:num>
  <w:num w:numId="19" w16cid:durableId="1993289589">
    <w:abstractNumId w:val="9"/>
  </w:num>
  <w:num w:numId="20" w16cid:durableId="695889498">
    <w:abstractNumId w:val="19"/>
  </w:num>
  <w:num w:numId="21" w16cid:durableId="1584488759">
    <w:abstractNumId w:val="45"/>
  </w:num>
  <w:num w:numId="22" w16cid:durableId="1683317036">
    <w:abstractNumId w:val="43"/>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8"/>
  </w:num>
  <w:num w:numId="26" w16cid:durableId="245580211">
    <w:abstractNumId w:val="55"/>
  </w:num>
  <w:num w:numId="27" w16cid:durableId="352390075">
    <w:abstractNumId w:val="32"/>
  </w:num>
  <w:num w:numId="28" w16cid:durableId="1617591442">
    <w:abstractNumId w:val="33"/>
  </w:num>
  <w:num w:numId="29" w16cid:durableId="958757524">
    <w:abstractNumId w:val="10"/>
  </w:num>
  <w:num w:numId="30" w16cid:durableId="1934316329">
    <w:abstractNumId w:val="37"/>
  </w:num>
  <w:num w:numId="31" w16cid:durableId="230434611">
    <w:abstractNumId w:val="42"/>
  </w:num>
  <w:num w:numId="32" w16cid:durableId="1062025808">
    <w:abstractNumId w:val="35"/>
  </w:num>
  <w:num w:numId="33" w16cid:durableId="1636445364">
    <w:abstractNumId w:val="49"/>
  </w:num>
  <w:num w:numId="34" w16cid:durableId="200631665">
    <w:abstractNumId w:val="3"/>
  </w:num>
  <w:num w:numId="35" w16cid:durableId="413471930">
    <w:abstractNumId w:val="17"/>
  </w:num>
  <w:num w:numId="36" w16cid:durableId="228931113">
    <w:abstractNumId w:val="26"/>
  </w:num>
  <w:num w:numId="37" w16cid:durableId="529683808">
    <w:abstractNumId w:val="25"/>
  </w:num>
  <w:num w:numId="38" w16cid:durableId="127092960">
    <w:abstractNumId w:val="52"/>
  </w:num>
  <w:num w:numId="39" w16cid:durableId="553588703">
    <w:abstractNumId w:val="48"/>
  </w:num>
  <w:num w:numId="40" w16cid:durableId="462117149">
    <w:abstractNumId w:val="16"/>
  </w:num>
  <w:num w:numId="41" w16cid:durableId="2139952012">
    <w:abstractNumId w:val="29"/>
  </w:num>
  <w:num w:numId="42" w16cid:durableId="947397067">
    <w:abstractNumId w:val="22"/>
  </w:num>
  <w:num w:numId="43" w16cid:durableId="598488121">
    <w:abstractNumId w:val="44"/>
  </w:num>
  <w:num w:numId="44" w16cid:durableId="484057232">
    <w:abstractNumId w:val="54"/>
  </w:num>
  <w:num w:numId="45" w16cid:durableId="1884824541">
    <w:abstractNumId w:val="40"/>
  </w:num>
  <w:num w:numId="46" w16cid:durableId="842361355">
    <w:abstractNumId w:val="53"/>
  </w:num>
  <w:num w:numId="47" w16cid:durableId="305549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6"/>
  </w:num>
  <w:num w:numId="49" w16cid:durableId="409622924">
    <w:abstractNumId w:val="8"/>
  </w:num>
  <w:num w:numId="50" w16cid:durableId="1883440729">
    <w:abstractNumId w:val="21"/>
  </w:num>
  <w:num w:numId="51" w16cid:durableId="1417940238">
    <w:abstractNumId w:val="46"/>
  </w:num>
  <w:num w:numId="52" w16cid:durableId="1766144299">
    <w:abstractNumId w:val="38"/>
  </w:num>
  <w:num w:numId="53" w16cid:durableId="705064930">
    <w:abstractNumId w:val="5"/>
  </w:num>
  <w:num w:numId="54" w16cid:durableId="821585512">
    <w:abstractNumId w:val="7"/>
  </w:num>
  <w:num w:numId="55" w16cid:durableId="1515000167">
    <w:abstractNumId w:val="54"/>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42830865">
    <w:abstractNumId w:val="4"/>
  </w:num>
  <w:num w:numId="57" w16cid:durableId="1038579982">
    <w:abstractNumId w:val="51"/>
  </w:num>
  <w:num w:numId="58" w16cid:durableId="1901289333">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04FC"/>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A0A82"/>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3D2C"/>
    <w:rsid w:val="007C4CBC"/>
    <w:rsid w:val="007D6F1B"/>
    <w:rsid w:val="007E1C8E"/>
    <w:rsid w:val="008002FF"/>
    <w:rsid w:val="008176C0"/>
    <w:rsid w:val="008355C2"/>
    <w:rsid w:val="00847A5A"/>
    <w:rsid w:val="008520AF"/>
    <w:rsid w:val="00857D8C"/>
    <w:rsid w:val="00874FE8"/>
    <w:rsid w:val="00875308"/>
    <w:rsid w:val="0088315B"/>
    <w:rsid w:val="00885317"/>
    <w:rsid w:val="0089431A"/>
    <w:rsid w:val="008A29B5"/>
    <w:rsid w:val="008A36DB"/>
    <w:rsid w:val="008A7AAF"/>
    <w:rsid w:val="008B4D75"/>
    <w:rsid w:val="008C3975"/>
    <w:rsid w:val="008D1938"/>
    <w:rsid w:val="008E134A"/>
    <w:rsid w:val="008F30CD"/>
    <w:rsid w:val="00902590"/>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047E"/>
    <w:rsid w:val="00AF41CC"/>
    <w:rsid w:val="00B03C66"/>
    <w:rsid w:val="00B041A9"/>
    <w:rsid w:val="00B069A5"/>
    <w:rsid w:val="00B15091"/>
    <w:rsid w:val="00B469BB"/>
    <w:rsid w:val="00B54309"/>
    <w:rsid w:val="00B616ED"/>
    <w:rsid w:val="00B61D7D"/>
    <w:rsid w:val="00B65B2B"/>
    <w:rsid w:val="00B67C6A"/>
    <w:rsid w:val="00B81C71"/>
    <w:rsid w:val="00BA0078"/>
    <w:rsid w:val="00BB360E"/>
    <w:rsid w:val="00BB3B28"/>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B7077"/>
    <w:rsid w:val="00CC1D0C"/>
    <w:rsid w:val="00CC2EC3"/>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1C18"/>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1A6B"/>
    <w:rsid w:val="00E76E48"/>
    <w:rsid w:val="00E83129"/>
    <w:rsid w:val="00E9281A"/>
    <w:rsid w:val="00EA1CE8"/>
    <w:rsid w:val="00EA33AA"/>
    <w:rsid w:val="00EA463E"/>
    <w:rsid w:val="00EB20BF"/>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42AF9"/>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8789</Words>
  <Characters>52740</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2</cp:revision>
  <cp:lastPrinted>2025-08-07T09:44:00Z</cp:lastPrinted>
  <dcterms:created xsi:type="dcterms:W3CDTF">2025-08-07T09:51:00Z</dcterms:created>
  <dcterms:modified xsi:type="dcterms:W3CDTF">2025-08-07T09:51:00Z</dcterms:modified>
</cp:coreProperties>
</file>